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8CAE63D"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A2D40">
        <w:t>16</w:t>
      </w:r>
      <w:r w:rsidR="005420B4" w:rsidRPr="00893890">
        <w:t>.</w:t>
      </w:r>
      <w:r w:rsidR="001A6ED5">
        <w:t>listopadu</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2411F567" w:rsidR="007D3B29" w:rsidRDefault="006D2153" w:rsidP="002A2D40">
      <w:pPr>
        <w:pStyle w:val="paragraph"/>
        <w:spacing w:before="0" w:beforeAutospacing="0" w:after="0" w:afterAutospacing="0" w:line="276" w:lineRule="auto"/>
        <w:jc w:val="both"/>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w:t>
      </w:r>
      <w:r w:rsidR="00AE5EF5">
        <w:rPr>
          <w:rStyle w:val="normaltextrun"/>
          <w:rFonts w:ascii="Arial" w:hAnsi="Arial" w:cs="Arial"/>
          <w:b/>
          <w:bCs/>
          <w:color w:val="000000"/>
          <w:sz w:val="28"/>
          <w:szCs w:val="28"/>
          <w:lang w:val="cs-CZ"/>
        </w:rPr>
        <w:t xml:space="preserve"> International</w:t>
      </w:r>
      <w:r>
        <w:rPr>
          <w:rStyle w:val="normaltextrun"/>
          <w:rFonts w:ascii="Arial" w:hAnsi="Arial" w:cs="Arial"/>
          <w:b/>
          <w:bCs/>
          <w:color w:val="000000"/>
          <w:sz w:val="28"/>
          <w:szCs w:val="28"/>
          <w:lang w:val="cs-CZ"/>
        </w:rPr>
        <w:t>:</w:t>
      </w:r>
      <w:r w:rsidR="002A2D40">
        <w:rPr>
          <w:rStyle w:val="normaltextrun"/>
          <w:rFonts w:ascii="Arial" w:hAnsi="Arial" w:cs="Arial"/>
          <w:b/>
          <w:bCs/>
          <w:color w:val="000000"/>
          <w:sz w:val="28"/>
          <w:szCs w:val="28"/>
          <w:lang w:val="cs-CZ"/>
        </w:rPr>
        <w:t xml:space="preserve"> Jak by měli investoři do dluhopisů přehodnotit strategie, když se centrální banky rozhodly dát si pauzu?</w:t>
      </w:r>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05AB40AE" w14:textId="4212BA3F" w:rsidR="00E76BE0" w:rsidRDefault="002A2D40" w:rsidP="007D3B29">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V současné době je možné získat atraktivní výnos z kombinace kvalitních státních a podnikových dluhopisů, které jsou relativně méně rizikové, což ukazuje i následující graf. Vyšší výnosy znamenají, že investoři mohou mít kvalitnější nástroje, aby si zajistili příjem.</w:t>
      </w:r>
    </w:p>
    <w:p w14:paraId="6CE1A4BE" w14:textId="2721655E" w:rsidR="009C3D06" w:rsidRPr="002A2D40" w:rsidRDefault="002A2D40" w:rsidP="002A2D40">
      <w:pPr>
        <w:shd w:val="clear" w:color="auto" w:fill="FFFFFF"/>
        <w:spacing w:after="210" w:line="240" w:lineRule="auto"/>
        <w:rPr>
          <w:rFonts w:asciiTheme="minorHAnsi" w:eastAsiaTheme="minorHAnsi" w:hAnsiTheme="minorHAnsi" w:cstheme="minorBidi"/>
          <w:b/>
          <w:sz w:val="24"/>
          <w:szCs w:val="24"/>
          <w:lang w:eastAsia="en-US"/>
        </w:rPr>
      </w:pPr>
      <w:r w:rsidRPr="002A2D40">
        <w:rPr>
          <w:rFonts w:asciiTheme="minorHAnsi" w:eastAsiaTheme="minorHAnsi" w:hAnsiTheme="minorHAnsi" w:cstheme="minorBidi"/>
          <w:b/>
          <w:sz w:val="24"/>
          <w:szCs w:val="24"/>
          <w:lang w:eastAsia="en-US"/>
        </w:rPr>
        <w:t>Přicházející příležitosti: V cyklu zvyšování úrokových sazeb jsme na křižovatce</w:t>
      </w:r>
    </w:p>
    <w:p w14:paraId="298BA8C8" w14:textId="77777777" w:rsidR="002A2D40" w:rsidRPr="002A2D40" w:rsidRDefault="002A2D40" w:rsidP="002A2D40">
      <w:pPr>
        <w:shd w:val="clear" w:color="auto" w:fill="FFFFFF"/>
        <w:spacing w:after="210" w:line="360" w:lineRule="auto"/>
      </w:pPr>
      <w:r w:rsidRPr="002A2D40">
        <w:t>Může to být výzvou, na vládních dluhopisech vyspělých trhů letos zkoušel trh investorské nervy, což se odrazilo v ostatních třídách aktiv s pevným výnosem a u úvěrových aktiv. Hlavní vyspělé centrální banky sice v poslední době pozastavily růst sazeb, ale směr vývoje sazeb je nejistý a další zvyšování je tak možné. Inflační tlak zůstává zvýšený v důsledku dlouhodobých trendů, jako je deglobalizace, dekarbonizace a snaha o snížení stávajícího dluhového zatížení. Nedávné geopolitické napětí a neuspokojivé výsledky hospodaření rovněž zvyšují obavy investorů.</w:t>
      </w:r>
    </w:p>
    <w:p w14:paraId="07CC741A" w14:textId="62ECBB4E" w:rsidR="007D3B29" w:rsidRPr="007D3B29" w:rsidRDefault="00CF4DED" w:rsidP="007D3B29">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Graf 1: </w:t>
      </w:r>
      <w:r w:rsidR="002A2D40">
        <w:rPr>
          <w:rFonts w:asciiTheme="minorHAnsi" w:eastAsiaTheme="minorHAnsi" w:hAnsiTheme="minorHAnsi" w:cstheme="minorBidi"/>
          <w:b/>
          <w:sz w:val="24"/>
          <w:szCs w:val="24"/>
          <w:lang w:eastAsia="en-US"/>
        </w:rPr>
        <w:t>Odhady rizika a výnosů podle tříd aktiv</w:t>
      </w:r>
    </w:p>
    <w:p w14:paraId="6020CC50" w14:textId="1E495069" w:rsidR="002A2D40" w:rsidRPr="002A2D40" w:rsidRDefault="002A2D40" w:rsidP="00CF4DED">
      <w:pPr>
        <w:shd w:val="clear" w:color="auto" w:fill="FFFFFF"/>
        <w:spacing w:after="210" w:line="240" w:lineRule="auto"/>
        <w:jc w:val="right"/>
        <w:rPr>
          <w:i/>
          <w:iCs/>
          <w:sz w:val="16"/>
          <w:szCs w:val="16"/>
        </w:rPr>
      </w:pPr>
      <w:r w:rsidRPr="0021235B">
        <w:rPr>
          <w:noProof/>
          <w:color w:val="20242B"/>
          <w:sz w:val="24"/>
          <w:szCs w:val="24"/>
        </w:rPr>
        <w:drawing>
          <wp:inline distT="0" distB="0" distL="0" distR="0" wp14:anchorId="2BBE76A3" wp14:editId="63589F6B">
            <wp:extent cx="5759450" cy="2542614"/>
            <wp:effectExtent l="0" t="0" r="0" b="0"/>
            <wp:docPr id="145397932" name="Obrázek 1" descr="Obsah obrázku text, snímek obrazovky, diagram,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7932" name="Obrázek 1" descr="Obsah obrázku text, snímek obrazovky, diagram, číslo&#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542614"/>
                    </a:xfrm>
                    <a:prstGeom prst="rect">
                      <a:avLst/>
                    </a:prstGeom>
                    <a:noFill/>
                    <a:ln>
                      <a:noFill/>
                    </a:ln>
                  </pic:spPr>
                </pic:pic>
              </a:graphicData>
            </a:graphic>
          </wp:inline>
        </w:drawing>
      </w:r>
      <w:r w:rsidRPr="002A2D40">
        <w:rPr>
          <w:i/>
          <w:iCs/>
          <w:sz w:val="18"/>
          <w:szCs w:val="18"/>
        </w:rPr>
        <w:t>Minulá výkonnost není spolehlivým ukazatelem budoucích výnosů. Pouze pro ilustraci.</w:t>
      </w:r>
      <w:r w:rsidRPr="002A2D40">
        <w:rPr>
          <w:i/>
          <w:iCs/>
          <w:color w:val="20242B"/>
          <w:sz w:val="18"/>
          <w:szCs w:val="18"/>
        </w:rPr>
        <w:t xml:space="preserve"> </w:t>
      </w:r>
      <w:r w:rsidRPr="002A2D40">
        <w:rPr>
          <w:i/>
          <w:iCs/>
          <w:sz w:val="18"/>
          <w:szCs w:val="18"/>
        </w:rPr>
        <w:t>Zdroj: Fidelity International, 30. červen 2023.</w:t>
      </w:r>
    </w:p>
    <w:p w14:paraId="5D84776F" w14:textId="77777777" w:rsidR="002A2D40" w:rsidRDefault="002A2D40" w:rsidP="002A2D40">
      <w:pPr>
        <w:rPr>
          <w:rFonts w:asciiTheme="minorHAnsi" w:eastAsiaTheme="minorHAnsi" w:hAnsiTheme="minorHAnsi" w:cstheme="minorBidi"/>
          <w:b/>
          <w:sz w:val="24"/>
          <w:szCs w:val="24"/>
          <w:lang w:eastAsia="en-US"/>
        </w:rPr>
      </w:pPr>
    </w:p>
    <w:p w14:paraId="5E8CF7ED" w14:textId="09F00107" w:rsidR="002A2D40" w:rsidRDefault="002A2D40" w:rsidP="002A2D40">
      <w:pPr>
        <w:spacing w:line="360" w:lineRule="auto"/>
      </w:pPr>
      <w:r w:rsidRPr="002A2D40">
        <w:lastRenderedPageBreak/>
        <w:t>Například hotovostní strategie, které investují do cenných papírů s velmi krátkou dobou splatnosti a malým úrokovým rizikem a které k 31. říjnu vynášely přibližně 5 % v amerických dolarech. Pokud úrokové sazby nadále porostou nebo zůstanou "vyšší po delší dobu", může být hotovost pro některé investory zaměřené na příjmy atraktivní volbou. Kromě toho mohou tyto strategie sloužit i k jiným účelům při alokaci portfolia. Hotovost může sloužit například jako rezerva proti riziku nebo k využití budoucích příležitostí, pokud investoři očekávají, že ceny aktiv budou při výrazném hospodářském poklesu podhodnoceny.</w:t>
      </w:r>
    </w:p>
    <w:p w14:paraId="5B3CE7D0" w14:textId="77777777" w:rsidR="00CF4DED" w:rsidRPr="00CF4DED" w:rsidRDefault="00CF4DED" w:rsidP="00CF4DED">
      <w:pPr>
        <w:shd w:val="clear" w:color="auto" w:fill="FFFFFF"/>
        <w:spacing w:after="210" w:line="360" w:lineRule="auto"/>
      </w:pPr>
      <w:r w:rsidRPr="00CF4DED">
        <w:t>S rostoucí nejistotou na trhu si někteří kladou otázku, zda se více spoléhat na hotovostní strategie? Pokud je to láká, jaká jsou rizika? Odpověď je složitá a závisí na konkrétních cílech a omezeních investorů, navíc na jejich názoru na vývoj úrokových sazeb (viz graf níže), inflaci a hospodářský růst.</w:t>
      </w:r>
    </w:p>
    <w:p w14:paraId="0C01B6A3" w14:textId="7B918146" w:rsidR="002A2D40" w:rsidRPr="007D3B29" w:rsidRDefault="00CF4DED" w:rsidP="002A2D40">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 2: Očekávané průměrné úrokové sazby přepočtené na roční bázi v horizontu 10 let podle zemí/regionů</w:t>
      </w:r>
    </w:p>
    <w:p w14:paraId="7B94DA44" w14:textId="188669BA" w:rsidR="00CF4DED" w:rsidRDefault="00CF4DED" w:rsidP="00CF4DED">
      <w:pPr>
        <w:spacing w:line="360" w:lineRule="auto"/>
        <w:jc w:val="right"/>
        <w:rPr>
          <w:i/>
          <w:iCs/>
          <w:sz w:val="18"/>
          <w:szCs w:val="18"/>
        </w:rPr>
      </w:pPr>
      <w:r w:rsidRPr="007C3973">
        <w:rPr>
          <w:noProof/>
          <w:color w:val="20242B"/>
          <w:sz w:val="24"/>
          <w:szCs w:val="24"/>
        </w:rPr>
        <w:drawing>
          <wp:inline distT="0" distB="0" distL="0" distR="0" wp14:anchorId="1C2B0674" wp14:editId="48167ABB">
            <wp:extent cx="5759450" cy="2295654"/>
            <wp:effectExtent l="0" t="0" r="0" b="9525"/>
            <wp:docPr id="681509690" name="Obrázek 1" descr="Obsah obrázku snímek obrazovky, řada/pruh, Vykreslený graf,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09690" name="Obrázek 1" descr="Obsah obrázku snímek obrazovky, řada/pruh, Vykreslený graf, diagram&#10;&#10;Popis byl vytvořen automaticky"/>
                    <pic:cNvPicPr/>
                  </pic:nvPicPr>
                  <pic:blipFill>
                    <a:blip r:embed="rId13"/>
                    <a:stretch>
                      <a:fillRect/>
                    </a:stretch>
                  </pic:blipFill>
                  <pic:spPr>
                    <a:xfrm>
                      <a:off x="0" y="0"/>
                      <a:ext cx="5759450" cy="2295654"/>
                    </a:xfrm>
                    <a:prstGeom prst="rect">
                      <a:avLst/>
                    </a:prstGeom>
                  </pic:spPr>
                </pic:pic>
              </a:graphicData>
            </a:graphic>
          </wp:inline>
        </w:drawing>
      </w:r>
      <w:r w:rsidRPr="00CF4DED">
        <w:rPr>
          <w:i/>
          <w:iCs/>
          <w:sz w:val="18"/>
          <w:szCs w:val="18"/>
        </w:rPr>
        <w:t xml:space="preserve"> </w:t>
      </w:r>
      <w:r w:rsidRPr="002A2D40">
        <w:rPr>
          <w:i/>
          <w:iCs/>
          <w:sz w:val="18"/>
          <w:szCs w:val="18"/>
        </w:rPr>
        <w:t>Pouze pro ilustraci.</w:t>
      </w:r>
      <w:r w:rsidRPr="002A2D40">
        <w:rPr>
          <w:i/>
          <w:iCs/>
          <w:color w:val="20242B"/>
          <w:sz w:val="18"/>
          <w:szCs w:val="18"/>
        </w:rPr>
        <w:t xml:space="preserve"> </w:t>
      </w:r>
      <w:r w:rsidRPr="002A2D40">
        <w:rPr>
          <w:i/>
          <w:iCs/>
          <w:sz w:val="18"/>
          <w:szCs w:val="18"/>
        </w:rPr>
        <w:t>Zdroj: Fidelity International, 30. červen 2023.</w:t>
      </w:r>
    </w:p>
    <w:p w14:paraId="3BF7C084" w14:textId="77777777" w:rsidR="00CF4DED" w:rsidRPr="00CF4DED" w:rsidRDefault="00CF4DED" w:rsidP="00CF4DED">
      <w:pPr>
        <w:shd w:val="clear" w:color="auto" w:fill="FFFFFF"/>
        <w:spacing w:after="210" w:line="360" w:lineRule="auto"/>
      </w:pPr>
      <w:r w:rsidRPr="00CF4DED">
        <w:t>Domníváme se, že v roce 2024 může začít nejpravděpodobnější scénář recese. V tomto případě si centrální banky mohou dát pauzu a budou nuceny snížit základní úrokové sazby, aby ochránily růst. Výkonnost hotovosti oproti dluhopisům s delší dobou splatnosti se může zvrátit z následujících důvodů:</w:t>
      </w:r>
    </w:p>
    <w:p w14:paraId="5D8BB22D" w14:textId="376266BD" w:rsidR="00CF4DED" w:rsidRDefault="00CF4DED" w:rsidP="00CF4DED">
      <w:pPr>
        <w:pStyle w:val="Odstavecseseznamem"/>
        <w:numPr>
          <w:ilvl w:val="0"/>
          <w:numId w:val="27"/>
        </w:numPr>
        <w:shd w:val="clear" w:color="auto" w:fill="FFFFFF"/>
        <w:spacing w:after="210" w:line="240" w:lineRule="auto"/>
      </w:pPr>
      <w:r w:rsidRPr="00CF4DED">
        <w:t>Fondy peněžního trhu a další strategie s krátkou splatností dluhu a nízkým rizikem dosahují lepších výsledků než mnohé kategorie dluhopisů s delší splatností, protože centrální banky od března 2022 agresivně zvyšují úrokové sazby. Je to do značné míry proto, že tyto strategie umí lépe sledovat zvyšování úrokových sazeb ve srovnání s dluhopisy s delší dobou splatnosti. Stejně jako pozorně kopírují růst úrokových sazeb, tak i jejich pokles.</w:t>
      </w:r>
    </w:p>
    <w:p w14:paraId="619A0AF5" w14:textId="77777777" w:rsidR="00CF4DED" w:rsidRPr="00CF4DED" w:rsidRDefault="00CF4DED" w:rsidP="00CF4DED">
      <w:pPr>
        <w:pStyle w:val="Odstavecseseznamem"/>
        <w:numPr>
          <w:ilvl w:val="0"/>
          <w:numId w:val="27"/>
        </w:numPr>
        <w:shd w:val="clear" w:color="auto" w:fill="FFFFFF"/>
        <w:spacing w:after="210" w:line="240" w:lineRule="auto"/>
      </w:pPr>
      <w:r w:rsidRPr="00CF4DED">
        <w:t>Očekávání úrokových sazeb je v příštích 18 měsících ve srovnání s předchozími 18 měsíci více vychýleno směrem dolů. U fondů peněžního trhu by mohlo být kvůli souvisejícímu reinvestičnímu riziku obtížnější uzamknout vyšší sazby ve srovnání s dluhopisy s delší dobou splatnosti, pokud se očekává pokles úrokových sazeb.</w:t>
      </w:r>
    </w:p>
    <w:p w14:paraId="5CC32C92" w14:textId="62074135" w:rsidR="00CF4DED" w:rsidRPr="00CF4DED" w:rsidRDefault="00CF4DED" w:rsidP="00CF4DED">
      <w:pPr>
        <w:pStyle w:val="Odstavecseseznamem"/>
        <w:numPr>
          <w:ilvl w:val="0"/>
          <w:numId w:val="27"/>
        </w:numPr>
        <w:shd w:val="clear" w:color="auto" w:fill="FFFFFF"/>
        <w:spacing w:after="210" w:line="240" w:lineRule="auto"/>
      </w:pPr>
      <w:r w:rsidRPr="00CF4DED">
        <w:t>Reálné sazby zůstávají na mnoha hlavních vyspělých trzích nízké nebo blízké nule, i když centrální banky agresivně zvyšují sazby. Pro některé nemusí fondy peněžního trhu a jiné nízkorizikové strategie výnosů stačit, pokud budou požadovány vyšší reálné výnosy. Kupní síla bude bez kapitálového růstu, který u hotovostních strategií neexistuje, časem klesat.</w:t>
      </w:r>
    </w:p>
    <w:p w14:paraId="15CC42DC" w14:textId="77777777" w:rsidR="00CF4DED" w:rsidRPr="00CF4DED" w:rsidRDefault="00CF4DED" w:rsidP="00CF4DED">
      <w:pPr>
        <w:shd w:val="clear" w:color="auto" w:fill="FFFFFF"/>
        <w:spacing w:after="210" w:line="360" w:lineRule="auto"/>
      </w:pPr>
      <w:r w:rsidRPr="00CF4DED">
        <w:lastRenderedPageBreak/>
        <w:t>S tím, jak se počátek recese posouvá a blíží se vrchol úrokových sazeb, investoři stále více počítají se scénářem "vyšší po delší dobu". Spoléhání se na jeden scénář nebo tržní trend – například na fondy peněžního trhu v prostředí "vyšších úrokových sazeb po delší dobu" – by však mohlo způsobit vysokou zranitelnost.</w:t>
      </w:r>
    </w:p>
    <w:p w14:paraId="36DFF3C7" w14:textId="77777777" w:rsidR="00CF4DED" w:rsidRPr="00CF4DED" w:rsidRDefault="00CF4DED" w:rsidP="00CF4DED">
      <w:pPr>
        <w:shd w:val="clear" w:color="auto" w:fill="FFFFFF"/>
        <w:spacing w:after="210" w:line="360" w:lineRule="auto"/>
      </w:pPr>
      <w:r w:rsidRPr="00CF4DED">
        <w:t>Investoři by měli pečlivě sledovat faktory ovlivňujících výnosy ve svých strategiích zaměřených na příjem v době, kdy se zvyšuje volatilita výnosů a jejich rozptyl. Udělat nyní krok zpět a přehodnotit zdroje příjmů v portfoliu se v budoucnu vyplatí bez ohledu na to, jaké makro scénáře se objeví.</w:t>
      </w:r>
    </w:p>
    <w:p w14:paraId="1E13D59C" w14:textId="77777777" w:rsidR="001A6ED5" w:rsidRPr="001A6ED5" w:rsidRDefault="001A6ED5" w:rsidP="001A6ED5">
      <w:pPr>
        <w:pStyle w:val="F2-zkladn"/>
      </w:pPr>
    </w:p>
    <w:p w14:paraId="3AEC66E5" w14:textId="0466D894" w:rsidR="00DF09B1" w:rsidRPr="00DF09B1" w:rsidRDefault="00DF09B1" w:rsidP="009C3D06">
      <w:pPr>
        <w:spacing w:after="210" w:line="240" w:lineRule="auto"/>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lastRenderedPageBreak/>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w:t>
      </w:r>
      <w:proofErr w:type="gramStart"/>
      <w:r>
        <w:t>2a</w:t>
      </w:r>
      <w:proofErr w:type="gramEnd"/>
      <w:r>
        <w:t>,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C5BD8AE" w14:textId="7F9DCC99" w:rsidR="00555D64" w:rsidRDefault="00DF26B2" w:rsidP="002027ED">
      <w:pPr>
        <w:pStyle w:val="F2-zkladn"/>
      </w:pPr>
      <w:r w:rsidRPr="00DF26B2">
        <w:t>MKAT11855</w:t>
      </w:r>
    </w:p>
    <w:sectPr w:rsidR="00555D64"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734B" w14:textId="77777777" w:rsidR="004B25A0" w:rsidRDefault="004B25A0">
      <w:r>
        <w:separator/>
      </w:r>
    </w:p>
  </w:endnote>
  <w:endnote w:type="continuationSeparator" w:id="0">
    <w:p w14:paraId="63059615" w14:textId="77777777" w:rsidR="004B25A0" w:rsidRDefault="004B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0356" w14:textId="77777777" w:rsidR="004B25A0" w:rsidRDefault="004B25A0">
      <w:r>
        <w:separator/>
      </w:r>
    </w:p>
  </w:footnote>
  <w:footnote w:type="continuationSeparator" w:id="0">
    <w:p w14:paraId="704A1836" w14:textId="77777777" w:rsidR="004B25A0" w:rsidRDefault="004B25A0">
      <w:r>
        <w:continuationSeparator/>
      </w:r>
    </w:p>
  </w:footnote>
  <w:footnote w:type="continuationNotice" w:id="1">
    <w:p w14:paraId="56C038A8" w14:textId="77777777" w:rsidR="004B25A0" w:rsidRDefault="004B2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4"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4"/>
  </w:num>
  <w:num w:numId="3" w16cid:durableId="1582174134">
    <w:abstractNumId w:val="27"/>
  </w:num>
  <w:num w:numId="4" w16cid:durableId="1727561179">
    <w:abstractNumId w:val="19"/>
  </w:num>
  <w:num w:numId="5" w16cid:durableId="56979214">
    <w:abstractNumId w:val="20"/>
  </w:num>
  <w:num w:numId="6" w16cid:durableId="52699439">
    <w:abstractNumId w:val="18"/>
  </w:num>
  <w:num w:numId="7" w16cid:durableId="1526748972">
    <w:abstractNumId w:val="26"/>
  </w:num>
  <w:num w:numId="8" w16cid:durableId="1090007024">
    <w:abstractNumId w:val="21"/>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3"/>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5"/>
  </w:num>
  <w:num w:numId="27" w16cid:durableId="339890089">
    <w:abstractNumId w:val="22"/>
  </w:num>
  <w:num w:numId="28" w16cid:durableId="57111323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5D64"/>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8155</Characters>
  <Application>Microsoft Office Word</Application>
  <DocSecurity>0</DocSecurity>
  <Lines>67</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9518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2023-11-15T11:19:00Z</dcterms:created>
  <dcterms:modified xsi:type="dcterms:W3CDTF">2023-11-16T10:08:00Z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